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9253" w14:textId="77777777" w:rsidR="000E487B" w:rsidRPr="007274AC" w:rsidRDefault="00F20DA6" w:rsidP="007274AC">
      <w:pPr>
        <w:jc w:val="center"/>
        <w:rPr>
          <w:rFonts w:ascii="黑体" w:eastAsia="黑体" w:hAnsi="黑体"/>
          <w:sz w:val="32"/>
          <w:szCs w:val="28"/>
        </w:rPr>
      </w:pPr>
      <w:r w:rsidRPr="007274AC">
        <w:rPr>
          <w:rFonts w:ascii="黑体" w:eastAsia="黑体" w:hAnsi="黑体" w:hint="eastAsia"/>
          <w:sz w:val="32"/>
          <w:szCs w:val="28"/>
        </w:rPr>
        <w:t>临港集团信息系统开发项目管理咨询供应商选聘公告</w:t>
      </w:r>
    </w:p>
    <w:p w14:paraId="661FC92F" w14:textId="77777777" w:rsid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根据《上海临港经济发展（集团）有限公司采购管理办法（非工程建设项目）》的相关规定，对集团“信息系统开发项目管理咨询”服务采购实行合格供应商管理，现拟对服务供应商进行公开选聘。</w:t>
      </w:r>
    </w:p>
    <w:p w14:paraId="14FB36FF" w14:textId="66F934E1" w:rsidR="00577D86" w:rsidRPr="000E487B" w:rsidRDefault="00246C52" w:rsidP="000E487B">
      <w:pPr>
        <w:ind w:firstLineChars="200" w:firstLine="560"/>
        <w:rPr>
          <w:rFonts w:ascii="仿宋" w:eastAsia="仿宋" w:hAnsi="仿宋"/>
          <w:sz w:val="28"/>
          <w:szCs w:val="28"/>
        </w:rPr>
      </w:pPr>
      <w:r>
        <w:rPr>
          <w:rFonts w:ascii="仿宋" w:eastAsia="仿宋" w:hAnsi="仿宋" w:hint="eastAsia"/>
          <w:sz w:val="28"/>
          <w:szCs w:val="28"/>
        </w:rPr>
        <w:t>集团涉及</w:t>
      </w:r>
      <w:r w:rsidR="00577D86" w:rsidRPr="000E487B">
        <w:rPr>
          <w:rFonts w:ascii="仿宋" w:eastAsia="仿宋" w:hAnsi="仿宋" w:hint="eastAsia"/>
          <w:sz w:val="28"/>
          <w:szCs w:val="28"/>
        </w:rPr>
        <w:t>信息系统开发项目管理咨询</w:t>
      </w:r>
      <w:r>
        <w:rPr>
          <w:rFonts w:ascii="仿宋" w:eastAsia="仿宋" w:hAnsi="仿宋" w:hint="eastAsia"/>
          <w:sz w:val="28"/>
          <w:szCs w:val="28"/>
        </w:rPr>
        <w:t>的项目</w:t>
      </w:r>
      <w:r w:rsidR="00613817">
        <w:rPr>
          <w:rFonts w:ascii="仿宋" w:eastAsia="仿宋" w:hAnsi="仿宋" w:hint="eastAsia"/>
          <w:sz w:val="28"/>
          <w:szCs w:val="28"/>
        </w:rPr>
        <w:t>目前</w:t>
      </w:r>
      <w:r>
        <w:rPr>
          <w:rFonts w:ascii="仿宋" w:eastAsia="仿宋" w:hAnsi="仿宋" w:hint="eastAsia"/>
          <w:sz w:val="28"/>
          <w:szCs w:val="28"/>
        </w:rPr>
        <w:t>有</w:t>
      </w:r>
      <w:r w:rsidR="00577D86" w:rsidRPr="000E487B">
        <w:rPr>
          <w:rFonts w:ascii="仿宋" w:eastAsia="仿宋" w:hAnsi="仿宋" w:hint="eastAsia"/>
          <w:sz w:val="28"/>
          <w:szCs w:val="28"/>
        </w:rPr>
        <w:t>：</w:t>
      </w:r>
    </w:p>
    <w:p w14:paraId="2D0DFC49" w14:textId="359EF780" w:rsidR="006E29CE" w:rsidRDefault="007274AC" w:rsidP="000E487B">
      <w:pPr>
        <w:ind w:firstLineChars="200" w:firstLine="560"/>
        <w:rPr>
          <w:rFonts w:ascii="仿宋" w:eastAsia="仿宋" w:hAnsi="仿宋"/>
          <w:sz w:val="28"/>
          <w:szCs w:val="28"/>
        </w:rPr>
      </w:pPr>
      <w:r>
        <w:rPr>
          <w:rFonts w:ascii="仿宋" w:eastAsia="仿宋" w:hAnsi="仿宋" w:hint="eastAsia"/>
          <w:sz w:val="28"/>
          <w:szCs w:val="28"/>
        </w:rPr>
        <w:t>数据集采云平台（一期）</w:t>
      </w:r>
      <w:r w:rsidR="00246C52">
        <w:rPr>
          <w:rFonts w:ascii="仿宋" w:eastAsia="仿宋" w:hAnsi="仿宋" w:hint="eastAsia"/>
          <w:sz w:val="28"/>
          <w:szCs w:val="28"/>
        </w:rPr>
        <w:t>、微信小程序软件系统</w:t>
      </w:r>
      <w:r w:rsidR="009B16E0">
        <w:rPr>
          <w:rFonts w:ascii="仿宋" w:eastAsia="仿宋" w:hAnsi="仿宋" w:hint="eastAsia"/>
          <w:sz w:val="28"/>
          <w:szCs w:val="28"/>
        </w:rPr>
        <w:t>等</w:t>
      </w:r>
      <w:r w:rsidR="006E29CE" w:rsidRPr="006E29CE">
        <w:rPr>
          <w:rFonts w:ascii="仿宋" w:eastAsia="仿宋" w:hAnsi="仿宋" w:hint="eastAsia"/>
          <w:sz w:val="28"/>
          <w:szCs w:val="28"/>
        </w:rPr>
        <w:t>。</w:t>
      </w:r>
    </w:p>
    <w:p w14:paraId="44A5D5F1" w14:textId="5348DB32"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合格供应商应满足以下条件：</w:t>
      </w:r>
    </w:p>
    <w:p w14:paraId="517A20B7" w14:textId="3C555D83"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1、具有独立法人资格，具有独立承担民事责任的能力；</w:t>
      </w:r>
    </w:p>
    <w:p w14:paraId="31F1452E" w14:textId="4DE2959E"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2、注册资本不低于</w:t>
      </w:r>
      <w:r w:rsidR="006E345A">
        <w:rPr>
          <w:rFonts w:ascii="仿宋" w:eastAsia="仿宋" w:hAnsi="仿宋" w:hint="eastAsia"/>
          <w:sz w:val="28"/>
          <w:szCs w:val="28"/>
        </w:rPr>
        <w:t>95</w:t>
      </w:r>
      <w:bookmarkStart w:id="0" w:name="_GoBack"/>
      <w:bookmarkEnd w:id="0"/>
      <w:r w:rsidRPr="000E487B">
        <w:rPr>
          <w:rFonts w:ascii="仿宋" w:eastAsia="仿宋" w:hAnsi="仿宋" w:hint="eastAsia"/>
          <w:sz w:val="28"/>
          <w:szCs w:val="28"/>
        </w:rPr>
        <w:t>0万元（人民币）；</w:t>
      </w:r>
    </w:p>
    <w:p w14:paraId="01EB80BD" w14:textId="103408E2"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3、公司应具有同类项目实施</w:t>
      </w:r>
      <w:r w:rsidR="00D724B8">
        <w:rPr>
          <w:rFonts w:ascii="仿宋" w:eastAsia="仿宋" w:hAnsi="仿宋" w:hint="eastAsia"/>
          <w:sz w:val="28"/>
          <w:szCs w:val="28"/>
        </w:rPr>
        <w:t>经验</w:t>
      </w:r>
      <w:r w:rsidRPr="000E487B">
        <w:rPr>
          <w:rFonts w:ascii="仿宋" w:eastAsia="仿宋" w:hAnsi="仿宋" w:hint="eastAsia"/>
          <w:sz w:val="28"/>
          <w:szCs w:val="28"/>
        </w:rPr>
        <w:t>，为政府部门或集团性企业实施过类似项目，提供过类似服务。与集团或集团下属企业有合作关系者优先。</w:t>
      </w:r>
    </w:p>
    <w:p w14:paraId="0F6BE203" w14:textId="2D5D23AB"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加分项：</w:t>
      </w:r>
    </w:p>
    <w:p w14:paraId="692E3468" w14:textId="1104EC93"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1、具备ISO9000系列认证的企业可加分；</w:t>
      </w:r>
    </w:p>
    <w:p w14:paraId="04F48531" w14:textId="1CAFFFF7"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2、注册在临港集团系统开发园区的企业可加分。</w:t>
      </w:r>
    </w:p>
    <w:p w14:paraId="26FB5E7B" w14:textId="1B8E6874" w:rsidR="00577D86" w:rsidRPr="000E487B" w:rsidRDefault="00577D86" w:rsidP="000E487B">
      <w:pPr>
        <w:ind w:firstLineChars="200" w:firstLine="560"/>
        <w:rPr>
          <w:rFonts w:ascii="仿宋" w:eastAsia="仿宋" w:hAnsi="仿宋"/>
          <w:sz w:val="28"/>
          <w:szCs w:val="28"/>
        </w:rPr>
      </w:pPr>
      <w:r w:rsidRPr="000E487B">
        <w:rPr>
          <w:rFonts w:ascii="仿宋" w:eastAsia="仿宋" w:hAnsi="仿宋" w:hint="eastAsia"/>
          <w:sz w:val="28"/>
          <w:szCs w:val="28"/>
        </w:rPr>
        <w:t>报名截止日期为2018年</w:t>
      </w:r>
      <w:r w:rsidR="007F7982">
        <w:rPr>
          <w:rFonts w:ascii="仿宋" w:eastAsia="仿宋" w:hAnsi="仿宋" w:hint="eastAsia"/>
          <w:sz w:val="28"/>
          <w:szCs w:val="28"/>
        </w:rPr>
        <w:t>11</w:t>
      </w:r>
      <w:r w:rsidRPr="000E487B">
        <w:rPr>
          <w:rFonts w:ascii="仿宋" w:eastAsia="仿宋" w:hAnsi="仿宋" w:hint="eastAsia"/>
          <w:sz w:val="28"/>
          <w:szCs w:val="28"/>
        </w:rPr>
        <w:t>月</w:t>
      </w:r>
      <w:r w:rsidR="006C3F22" w:rsidRPr="000E487B">
        <w:rPr>
          <w:rFonts w:ascii="仿宋" w:eastAsia="仿宋" w:hAnsi="仿宋"/>
          <w:sz w:val="28"/>
          <w:szCs w:val="28"/>
        </w:rPr>
        <w:t xml:space="preserve"> </w:t>
      </w:r>
      <w:r w:rsidR="007F7982">
        <w:rPr>
          <w:rFonts w:ascii="仿宋" w:eastAsia="仿宋" w:hAnsi="仿宋"/>
          <w:sz w:val="28"/>
          <w:szCs w:val="28"/>
        </w:rPr>
        <w:t>7</w:t>
      </w:r>
      <w:r w:rsidR="006C3F22" w:rsidRPr="000E487B">
        <w:rPr>
          <w:rFonts w:ascii="仿宋" w:eastAsia="仿宋" w:hAnsi="仿宋"/>
          <w:sz w:val="28"/>
          <w:szCs w:val="28"/>
        </w:rPr>
        <w:t xml:space="preserve"> </w:t>
      </w:r>
      <w:r w:rsidR="006C3F22" w:rsidRPr="000E487B">
        <w:rPr>
          <w:rFonts w:ascii="仿宋" w:eastAsia="仿宋" w:hAnsi="仿宋" w:hint="eastAsia"/>
          <w:sz w:val="28"/>
          <w:szCs w:val="28"/>
        </w:rPr>
        <w:t>日，在此期间，凡满足以上基本条件且有意参与此次选聘的供应商，均可通过邮件方式将本公司的相关资质扫描件和联系人信息发至以下邮箱：</w:t>
      </w:r>
    </w:p>
    <w:p w14:paraId="75FD5E57" w14:textId="2B2B6EC7" w:rsidR="006C3F22" w:rsidRPr="000E487B" w:rsidRDefault="006C3F22" w:rsidP="000E487B">
      <w:pPr>
        <w:ind w:firstLineChars="200" w:firstLine="560"/>
        <w:rPr>
          <w:rFonts w:ascii="仿宋" w:eastAsia="仿宋" w:hAnsi="仿宋"/>
          <w:sz w:val="28"/>
          <w:szCs w:val="28"/>
        </w:rPr>
      </w:pPr>
      <w:r w:rsidRPr="000E487B">
        <w:rPr>
          <w:rFonts w:ascii="仿宋" w:eastAsia="仿宋" w:hAnsi="仿宋"/>
          <w:sz w:val="28"/>
          <w:szCs w:val="28"/>
        </w:rPr>
        <w:t>wangjh@shlingang.com</w:t>
      </w:r>
    </w:p>
    <w:p w14:paraId="5A63D0F8" w14:textId="74B66E46" w:rsidR="006C3F22" w:rsidRDefault="006C3F22">
      <w:pPr>
        <w:rPr>
          <w:rFonts w:ascii="仿宋" w:eastAsia="仿宋" w:hAnsi="仿宋"/>
          <w:sz w:val="28"/>
          <w:szCs w:val="28"/>
        </w:rPr>
      </w:pPr>
    </w:p>
    <w:p w14:paraId="15B17309" w14:textId="5396E0A2" w:rsidR="000E487B" w:rsidRDefault="000E487B">
      <w:pPr>
        <w:rPr>
          <w:rFonts w:ascii="仿宋" w:eastAsia="仿宋" w:hAnsi="仿宋"/>
          <w:sz w:val="28"/>
          <w:szCs w:val="28"/>
        </w:rPr>
      </w:pPr>
    </w:p>
    <w:p w14:paraId="5E3481D0" w14:textId="77777777" w:rsidR="000E487B" w:rsidRPr="000E487B" w:rsidRDefault="000E487B">
      <w:pPr>
        <w:rPr>
          <w:rFonts w:ascii="仿宋" w:eastAsia="仿宋" w:hAnsi="仿宋"/>
          <w:sz w:val="28"/>
          <w:szCs w:val="28"/>
        </w:rPr>
      </w:pPr>
    </w:p>
    <w:p w14:paraId="5697C1F4" w14:textId="2B84FD05" w:rsidR="006C3F22" w:rsidRPr="000E487B" w:rsidRDefault="006C3F22">
      <w:pPr>
        <w:rPr>
          <w:rFonts w:ascii="仿宋" w:eastAsia="仿宋" w:hAnsi="仿宋"/>
          <w:sz w:val="28"/>
          <w:szCs w:val="28"/>
        </w:rPr>
      </w:pPr>
      <w:r w:rsidRPr="000E487B">
        <w:rPr>
          <w:rFonts w:ascii="仿宋" w:eastAsia="仿宋" w:hAnsi="仿宋" w:hint="eastAsia"/>
          <w:sz w:val="28"/>
          <w:szCs w:val="28"/>
        </w:rPr>
        <w:lastRenderedPageBreak/>
        <w:t>评价方式：综合评分，其中：</w:t>
      </w:r>
    </w:p>
    <w:tbl>
      <w:tblPr>
        <w:tblStyle w:val="a5"/>
        <w:tblW w:w="0" w:type="auto"/>
        <w:tblLook w:val="04A0" w:firstRow="1" w:lastRow="0" w:firstColumn="1" w:lastColumn="0" w:noHBand="0" w:noVBand="1"/>
      </w:tblPr>
      <w:tblGrid>
        <w:gridCol w:w="1555"/>
        <w:gridCol w:w="5670"/>
        <w:gridCol w:w="1071"/>
      </w:tblGrid>
      <w:tr w:rsidR="006C3F22" w:rsidRPr="000E487B" w14:paraId="36D2851B" w14:textId="77777777" w:rsidTr="000E487B">
        <w:tc>
          <w:tcPr>
            <w:tcW w:w="1555" w:type="dxa"/>
          </w:tcPr>
          <w:p w14:paraId="59BD75D9" w14:textId="77777777" w:rsidR="006C3F22" w:rsidRPr="000E487B" w:rsidRDefault="006C3F22">
            <w:pPr>
              <w:rPr>
                <w:rFonts w:ascii="仿宋" w:eastAsia="仿宋" w:hAnsi="仿宋"/>
                <w:sz w:val="28"/>
                <w:szCs w:val="28"/>
              </w:rPr>
            </w:pPr>
          </w:p>
        </w:tc>
        <w:tc>
          <w:tcPr>
            <w:tcW w:w="5670" w:type="dxa"/>
          </w:tcPr>
          <w:p w14:paraId="545EF579" w14:textId="0A2B789E" w:rsidR="006C3F22" w:rsidRPr="000E487B" w:rsidRDefault="006C3F22">
            <w:pPr>
              <w:rPr>
                <w:rFonts w:ascii="仿宋" w:eastAsia="仿宋" w:hAnsi="仿宋"/>
                <w:sz w:val="28"/>
                <w:szCs w:val="28"/>
              </w:rPr>
            </w:pPr>
            <w:r w:rsidRPr="000E487B">
              <w:rPr>
                <w:rFonts w:ascii="仿宋" w:eastAsia="仿宋" w:hAnsi="仿宋" w:hint="eastAsia"/>
                <w:sz w:val="28"/>
                <w:szCs w:val="28"/>
              </w:rPr>
              <w:t>考量因素</w:t>
            </w:r>
          </w:p>
        </w:tc>
        <w:tc>
          <w:tcPr>
            <w:tcW w:w="1071" w:type="dxa"/>
          </w:tcPr>
          <w:p w14:paraId="59FC1585" w14:textId="4B0F59A2" w:rsidR="006C3F22" w:rsidRPr="000E487B" w:rsidRDefault="006C3F22">
            <w:pPr>
              <w:rPr>
                <w:rFonts w:ascii="仿宋" w:eastAsia="仿宋" w:hAnsi="仿宋"/>
                <w:sz w:val="28"/>
                <w:szCs w:val="28"/>
              </w:rPr>
            </w:pPr>
            <w:r w:rsidRPr="000E487B">
              <w:rPr>
                <w:rFonts w:ascii="仿宋" w:eastAsia="仿宋" w:hAnsi="仿宋" w:hint="eastAsia"/>
                <w:sz w:val="28"/>
                <w:szCs w:val="28"/>
              </w:rPr>
              <w:t>分值</w:t>
            </w:r>
          </w:p>
        </w:tc>
      </w:tr>
      <w:tr w:rsidR="006C3F22" w:rsidRPr="000E487B" w14:paraId="2BC50CFE" w14:textId="77777777" w:rsidTr="000E487B">
        <w:tc>
          <w:tcPr>
            <w:tcW w:w="1555" w:type="dxa"/>
          </w:tcPr>
          <w:p w14:paraId="454924F7" w14:textId="08B7D839" w:rsidR="006C3F22" w:rsidRPr="000E487B" w:rsidRDefault="006C3F22">
            <w:pPr>
              <w:rPr>
                <w:rFonts w:ascii="仿宋" w:eastAsia="仿宋" w:hAnsi="仿宋"/>
                <w:sz w:val="28"/>
                <w:szCs w:val="28"/>
              </w:rPr>
            </w:pPr>
            <w:r w:rsidRPr="000E487B">
              <w:rPr>
                <w:rFonts w:ascii="仿宋" w:eastAsia="仿宋" w:hAnsi="仿宋" w:hint="eastAsia"/>
                <w:sz w:val="28"/>
                <w:szCs w:val="28"/>
              </w:rPr>
              <w:t>综合实力</w:t>
            </w:r>
          </w:p>
        </w:tc>
        <w:tc>
          <w:tcPr>
            <w:tcW w:w="5670" w:type="dxa"/>
          </w:tcPr>
          <w:p w14:paraId="4A56EF14" w14:textId="62782479" w:rsidR="006C3F22" w:rsidRPr="000E487B" w:rsidRDefault="006C3F22">
            <w:pPr>
              <w:rPr>
                <w:rFonts w:ascii="仿宋" w:eastAsia="仿宋" w:hAnsi="仿宋"/>
                <w:sz w:val="28"/>
                <w:szCs w:val="28"/>
              </w:rPr>
            </w:pPr>
            <w:r w:rsidRPr="000E487B">
              <w:rPr>
                <w:rFonts w:ascii="仿宋" w:eastAsia="仿宋" w:hAnsi="仿宋" w:hint="eastAsia"/>
                <w:sz w:val="28"/>
                <w:szCs w:val="28"/>
              </w:rPr>
              <w:t>1、企业资产规模、营业收入、财务状况分</w:t>
            </w:r>
            <w:r w:rsidR="000E487B" w:rsidRPr="000E487B">
              <w:rPr>
                <w:rFonts w:ascii="仿宋" w:eastAsia="仿宋" w:hAnsi="仿宋" w:hint="eastAsia"/>
                <w:sz w:val="28"/>
                <w:szCs w:val="28"/>
              </w:rPr>
              <w:t>；</w:t>
            </w:r>
          </w:p>
          <w:p w14:paraId="72734A9C" w14:textId="77777777" w:rsidR="006C3F22" w:rsidRPr="000E487B" w:rsidRDefault="006C3F22">
            <w:pPr>
              <w:rPr>
                <w:rFonts w:ascii="仿宋" w:eastAsia="仿宋" w:hAnsi="仿宋"/>
                <w:sz w:val="28"/>
                <w:szCs w:val="28"/>
              </w:rPr>
            </w:pPr>
            <w:r w:rsidRPr="000E487B">
              <w:rPr>
                <w:rFonts w:ascii="仿宋" w:eastAsia="仿宋" w:hAnsi="仿宋" w:hint="eastAsia"/>
                <w:sz w:val="28"/>
                <w:szCs w:val="28"/>
              </w:rPr>
              <w:t>2、经营业绩、成功案例、所获荣誉等；</w:t>
            </w:r>
          </w:p>
          <w:p w14:paraId="2317ECE6" w14:textId="77777777" w:rsidR="006C3F22" w:rsidRPr="000E487B" w:rsidRDefault="006C3F22">
            <w:pPr>
              <w:rPr>
                <w:rFonts w:ascii="仿宋" w:eastAsia="仿宋" w:hAnsi="仿宋"/>
                <w:sz w:val="28"/>
                <w:szCs w:val="28"/>
              </w:rPr>
            </w:pPr>
            <w:r w:rsidRPr="000E487B">
              <w:rPr>
                <w:rFonts w:ascii="仿宋" w:eastAsia="仿宋" w:hAnsi="仿宋" w:hint="eastAsia"/>
                <w:sz w:val="28"/>
                <w:szCs w:val="28"/>
              </w:rPr>
              <w:t>3、企业信誉、市场知名度、行业口碑；</w:t>
            </w:r>
          </w:p>
          <w:p w14:paraId="221BEE80" w14:textId="361C1976" w:rsidR="006C3F22" w:rsidRPr="000E487B" w:rsidRDefault="006C3F22">
            <w:pPr>
              <w:rPr>
                <w:rFonts w:ascii="仿宋" w:eastAsia="仿宋" w:hAnsi="仿宋"/>
                <w:sz w:val="28"/>
                <w:szCs w:val="28"/>
              </w:rPr>
            </w:pPr>
            <w:r w:rsidRPr="000E487B">
              <w:rPr>
                <w:rFonts w:ascii="仿宋" w:eastAsia="仿宋" w:hAnsi="仿宋" w:hint="eastAsia"/>
                <w:sz w:val="28"/>
                <w:szCs w:val="28"/>
              </w:rPr>
              <w:t>4、团队人才素质</w:t>
            </w:r>
            <w:r w:rsidR="000E487B" w:rsidRPr="000E487B">
              <w:rPr>
                <w:rFonts w:ascii="仿宋" w:eastAsia="仿宋" w:hAnsi="仿宋" w:hint="eastAsia"/>
                <w:sz w:val="28"/>
                <w:szCs w:val="28"/>
              </w:rPr>
              <w:t>；</w:t>
            </w:r>
          </w:p>
        </w:tc>
        <w:tc>
          <w:tcPr>
            <w:tcW w:w="1071" w:type="dxa"/>
          </w:tcPr>
          <w:p w14:paraId="24996504" w14:textId="39B82D54" w:rsidR="006C3F22" w:rsidRPr="000E487B" w:rsidRDefault="006C3F22">
            <w:pPr>
              <w:rPr>
                <w:rFonts w:ascii="仿宋" w:eastAsia="仿宋" w:hAnsi="仿宋"/>
                <w:sz w:val="28"/>
                <w:szCs w:val="28"/>
              </w:rPr>
            </w:pPr>
            <w:r w:rsidRPr="000E487B">
              <w:rPr>
                <w:rFonts w:ascii="仿宋" w:eastAsia="仿宋" w:hAnsi="仿宋" w:hint="eastAsia"/>
                <w:sz w:val="28"/>
                <w:szCs w:val="28"/>
              </w:rPr>
              <w:t>40分</w:t>
            </w:r>
          </w:p>
        </w:tc>
      </w:tr>
      <w:tr w:rsidR="006C3F22" w:rsidRPr="000E487B" w14:paraId="575B792B" w14:textId="77777777" w:rsidTr="000E487B">
        <w:tc>
          <w:tcPr>
            <w:tcW w:w="1555" w:type="dxa"/>
          </w:tcPr>
          <w:p w14:paraId="41902B23" w14:textId="4C3837C5" w:rsidR="006C3F22" w:rsidRPr="000E487B" w:rsidRDefault="006C3F22">
            <w:pPr>
              <w:rPr>
                <w:rFonts w:ascii="仿宋" w:eastAsia="仿宋" w:hAnsi="仿宋"/>
                <w:sz w:val="28"/>
                <w:szCs w:val="28"/>
              </w:rPr>
            </w:pPr>
            <w:r w:rsidRPr="000E487B">
              <w:rPr>
                <w:rFonts w:ascii="仿宋" w:eastAsia="仿宋" w:hAnsi="仿宋" w:hint="eastAsia"/>
                <w:sz w:val="28"/>
                <w:szCs w:val="28"/>
              </w:rPr>
              <w:t>专业能力</w:t>
            </w:r>
          </w:p>
        </w:tc>
        <w:tc>
          <w:tcPr>
            <w:tcW w:w="5670" w:type="dxa"/>
          </w:tcPr>
          <w:p w14:paraId="7D32A6DF" w14:textId="116440E9" w:rsidR="006C3F22" w:rsidRPr="000E487B" w:rsidRDefault="006C3F22">
            <w:pPr>
              <w:rPr>
                <w:rFonts w:ascii="仿宋" w:eastAsia="仿宋" w:hAnsi="仿宋"/>
                <w:sz w:val="28"/>
                <w:szCs w:val="28"/>
              </w:rPr>
            </w:pPr>
            <w:r w:rsidRPr="000E487B">
              <w:rPr>
                <w:rFonts w:ascii="仿宋" w:eastAsia="仿宋" w:hAnsi="仿宋" w:hint="eastAsia"/>
                <w:sz w:val="28"/>
                <w:szCs w:val="28"/>
              </w:rPr>
              <w:t>1、服务人员专业水平；</w:t>
            </w:r>
          </w:p>
          <w:p w14:paraId="0437FF6F" w14:textId="4E1AE3D0" w:rsidR="006C3F22" w:rsidRPr="000E487B" w:rsidRDefault="006C3F22">
            <w:pPr>
              <w:rPr>
                <w:rFonts w:ascii="仿宋" w:eastAsia="仿宋" w:hAnsi="仿宋"/>
                <w:sz w:val="28"/>
                <w:szCs w:val="28"/>
              </w:rPr>
            </w:pPr>
            <w:r w:rsidRPr="000E487B">
              <w:rPr>
                <w:rFonts w:ascii="仿宋" w:eastAsia="仿宋" w:hAnsi="仿宋" w:hint="eastAsia"/>
                <w:sz w:val="28"/>
                <w:szCs w:val="28"/>
              </w:rPr>
              <w:t>2、服务团队支持度和配合度；</w:t>
            </w:r>
          </w:p>
          <w:p w14:paraId="4966F784" w14:textId="5634C5EC" w:rsidR="006C3F22" w:rsidRPr="000E487B" w:rsidRDefault="006C3F22">
            <w:pPr>
              <w:rPr>
                <w:rFonts w:ascii="仿宋" w:eastAsia="仿宋" w:hAnsi="仿宋"/>
                <w:sz w:val="28"/>
                <w:szCs w:val="28"/>
              </w:rPr>
            </w:pPr>
            <w:r w:rsidRPr="000E487B">
              <w:rPr>
                <w:rFonts w:ascii="仿宋" w:eastAsia="仿宋" w:hAnsi="仿宋" w:hint="eastAsia"/>
                <w:sz w:val="28"/>
                <w:szCs w:val="28"/>
              </w:rPr>
              <w:t>3、沟通协调能力；</w:t>
            </w:r>
          </w:p>
          <w:p w14:paraId="52D3C6C3" w14:textId="0FF245E8" w:rsidR="006C3F22" w:rsidRPr="000E487B" w:rsidRDefault="006C3F22">
            <w:pPr>
              <w:rPr>
                <w:rFonts w:ascii="仿宋" w:eastAsia="仿宋" w:hAnsi="仿宋"/>
                <w:sz w:val="28"/>
                <w:szCs w:val="28"/>
              </w:rPr>
            </w:pPr>
            <w:r w:rsidRPr="000E487B">
              <w:rPr>
                <w:rFonts w:ascii="仿宋" w:eastAsia="仿宋" w:hAnsi="仿宋" w:hint="eastAsia"/>
                <w:sz w:val="28"/>
                <w:szCs w:val="28"/>
              </w:rPr>
              <w:t>4、项目管理能力、执行能力、分析能力、风险预测规避能力、客户满意度等；</w:t>
            </w:r>
          </w:p>
        </w:tc>
        <w:tc>
          <w:tcPr>
            <w:tcW w:w="1071" w:type="dxa"/>
          </w:tcPr>
          <w:p w14:paraId="217D1A02" w14:textId="49DCB93B" w:rsidR="006C3F22" w:rsidRPr="000E487B" w:rsidRDefault="006C3F22">
            <w:pPr>
              <w:rPr>
                <w:rFonts w:ascii="仿宋" w:eastAsia="仿宋" w:hAnsi="仿宋"/>
                <w:sz w:val="28"/>
                <w:szCs w:val="28"/>
              </w:rPr>
            </w:pPr>
            <w:r w:rsidRPr="000E487B">
              <w:rPr>
                <w:rFonts w:ascii="仿宋" w:eastAsia="仿宋" w:hAnsi="仿宋" w:hint="eastAsia"/>
                <w:sz w:val="28"/>
                <w:szCs w:val="28"/>
              </w:rPr>
              <w:t>60分</w:t>
            </w:r>
          </w:p>
        </w:tc>
      </w:tr>
      <w:tr w:rsidR="006C3F22" w:rsidRPr="000E487B" w14:paraId="65E37435" w14:textId="77777777" w:rsidTr="000E487B">
        <w:tc>
          <w:tcPr>
            <w:tcW w:w="1555" w:type="dxa"/>
          </w:tcPr>
          <w:p w14:paraId="6B445A88" w14:textId="463BB0A0" w:rsidR="006C3F22" w:rsidRPr="000E487B" w:rsidRDefault="006C3F22">
            <w:pPr>
              <w:rPr>
                <w:rFonts w:ascii="仿宋" w:eastAsia="仿宋" w:hAnsi="仿宋"/>
                <w:sz w:val="28"/>
                <w:szCs w:val="28"/>
              </w:rPr>
            </w:pPr>
            <w:r w:rsidRPr="000E487B">
              <w:rPr>
                <w:rFonts w:ascii="仿宋" w:eastAsia="仿宋" w:hAnsi="仿宋" w:hint="eastAsia"/>
                <w:sz w:val="28"/>
                <w:szCs w:val="28"/>
              </w:rPr>
              <w:t>加分项</w:t>
            </w:r>
          </w:p>
        </w:tc>
        <w:tc>
          <w:tcPr>
            <w:tcW w:w="5670" w:type="dxa"/>
          </w:tcPr>
          <w:p w14:paraId="4DAE34EE" w14:textId="6F09A618" w:rsidR="006C3F22" w:rsidRPr="000E487B" w:rsidRDefault="006C3F22">
            <w:pPr>
              <w:rPr>
                <w:rFonts w:ascii="仿宋" w:eastAsia="仿宋" w:hAnsi="仿宋"/>
                <w:sz w:val="28"/>
                <w:szCs w:val="28"/>
              </w:rPr>
            </w:pPr>
            <w:r w:rsidRPr="000E487B">
              <w:rPr>
                <w:rFonts w:ascii="仿宋" w:eastAsia="仿宋" w:hAnsi="仿宋" w:hint="eastAsia"/>
                <w:sz w:val="28"/>
                <w:szCs w:val="28"/>
              </w:rPr>
              <w:t>1</w:t>
            </w:r>
            <w:r w:rsidR="000E487B" w:rsidRPr="000E487B">
              <w:rPr>
                <w:rFonts w:ascii="仿宋" w:eastAsia="仿宋" w:hAnsi="仿宋" w:hint="eastAsia"/>
                <w:sz w:val="28"/>
                <w:szCs w:val="28"/>
              </w:rPr>
              <w:t>、</w:t>
            </w:r>
            <w:r w:rsidRPr="000E487B">
              <w:rPr>
                <w:rFonts w:ascii="仿宋" w:eastAsia="仿宋" w:hAnsi="仿宋" w:hint="eastAsia"/>
                <w:sz w:val="28"/>
                <w:szCs w:val="28"/>
              </w:rPr>
              <w:t>具备ISO9000系列认证</w:t>
            </w:r>
          </w:p>
          <w:p w14:paraId="38521389" w14:textId="15DAECB7" w:rsidR="006C3F22" w:rsidRPr="000E487B" w:rsidRDefault="006C3F22">
            <w:pPr>
              <w:rPr>
                <w:rFonts w:ascii="仿宋" w:eastAsia="仿宋" w:hAnsi="仿宋"/>
                <w:sz w:val="28"/>
                <w:szCs w:val="28"/>
              </w:rPr>
            </w:pPr>
            <w:r w:rsidRPr="000E487B">
              <w:rPr>
                <w:rFonts w:ascii="仿宋" w:eastAsia="仿宋" w:hAnsi="仿宋" w:hint="eastAsia"/>
                <w:sz w:val="28"/>
                <w:szCs w:val="28"/>
              </w:rPr>
              <w:t>2、注册在临港集团系统开发园区</w:t>
            </w:r>
          </w:p>
        </w:tc>
        <w:tc>
          <w:tcPr>
            <w:tcW w:w="1071" w:type="dxa"/>
          </w:tcPr>
          <w:p w14:paraId="3FC439A0" w14:textId="17059476" w:rsidR="006C3F22" w:rsidRPr="000E487B" w:rsidRDefault="006C3F22">
            <w:pPr>
              <w:rPr>
                <w:rFonts w:ascii="仿宋" w:eastAsia="仿宋" w:hAnsi="仿宋"/>
                <w:sz w:val="28"/>
                <w:szCs w:val="28"/>
              </w:rPr>
            </w:pPr>
            <w:r w:rsidRPr="000E487B">
              <w:rPr>
                <w:rFonts w:ascii="仿宋" w:eastAsia="仿宋" w:hAnsi="仿宋" w:hint="eastAsia"/>
                <w:sz w:val="28"/>
                <w:szCs w:val="28"/>
              </w:rPr>
              <w:t>每项加5分</w:t>
            </w:r>
          </w:p>
        </w:tc>
      </w:tr>
    </w:tbl>
    <w:p w14:paraId="27EB7ADD" w14:textId="37DF6CF8" w:rsidR="006C3F22" w:rsidRPr="000E487B" w:rsidRDefault="006C3F22">
      <w:pPr>
        <w:rPr>
          <w:rFonts w:ascii="仿宋" w:eastAsia="仿宋" w:hAnsi="仿宋"/>
          <w:sz w:val="28"/>
          <w:szCs w:val="28"/>
        </w:rPr>
      </w:pPr>
      <w:r w:rsidRPr="000E487B">
        <w:rPr>
          <w:rFonts w:ascii="仿宋" w:eastAsia="仿宋" w:hAnsi="仿宋" w:hint="eastAsia"/>
          <w:sz w:val="28"/>
          <w:szCs w:val="28"/>
        </w:rPr>
        <w:t>注：综合评分70分以上的进入合格供应商库</w:t>
      </w:r>
    </w:p>
    <w:sectPr w:rsidR="006C3F22" w:rsidRPr="000E4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A2E5" w14:textId="77777777" w:rsidR="00F978FA" w:rsidRDefault="00F978FA" w:rsidP="006E345A">
      <w:r>
        <w:separator/>
      </w:r>
    </w:p>
  </w:endnote>
  <w:endnote w:type="continuationSeparator" w:id="0">
    <w:p w14:paraId="28A4CD4E" w14:textId="77777777" w:rsidR="00F978FA" w:rsidRDefault="00F978FA" w:rsidP="006E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D0C8E" w14:textId="77777777" w:rsidR="00F978FA" w:rsidRDefault="00F978FA" w:rsidP="006E345A">
      <w:r>
        <w:separator/>
      </w:r>
    </w:p>
  </w:footnote>
  <w:footnote w:type="continuationSeparator" w:id="0">
    <w:p w14:paraId="23400883" w14:textId="77777777" w:rsidR="00F978FA" w:rsidRDefault="00F978FA" w:rsidP="006E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52"/>
    <w:rsid w:val="000E1320"/>
    <w:rsid w:val="000E487B"/>
    <w:rsid w:val="001C2C9C"/>
    <w:rsid w:val="00246C52"/>
    <w:rsid w:val="00577D86"/>
    <w:rsid w:val="00613817"/>
    <w:rsid w:val="006A3852"/>
    <w:rsid w:val="006C3F22"/>
    <w:rsid w:val="006E29CE"/>
    <w:rsid w:val="006E345A"/>
    <w:rsid w:val="007274AC"/>
    <w:rsid w:val="007F7982"/>
    <w:rsid w:val="009779D5"/>
    <w:rsid w:val="009B16E0"/>
    <w:rsid w:val="00D724B8"/>
    <w:rsid w:val="00E06EB7"/>
    <w:rsid w:val="00F20DA6"/>
    <w:rsid w:val="00F9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BCEE"/>
  <w15:chartTrackingRefBased/>
  <w15:docId w15:val="{F7A2EAE8-1EB9-4426-96D7-9A0CA0C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86"/>
    <w:pPr>
      <w:ind w:firstLineChars="200" w:firstLine="420"/>
    </w:pPr>
  </w:style>
  <w:style w:type="character" w:styleId="a4">
    <w:name w:val="Hyperlink"/>
    <w:basedOn w:val="a0"/>
    <w:uiPriority w:val="99"/>
    <w:unhideWhenUsed/>
    <w:rsid w:val="006C3F22"/>
    <w:rPr>
      <w:color w:val="0563C1" w:themeColor="hyperlink"/>
      <w:u w:val="single"/>
    </w:rPr>
  </w:style>
  <w:style w:type="character" w:customStyle="1" w:styleId="UnresolvedMention">
    <w:name w:val="Unresolved Mention"/>
    <w:basedOn w:val="a0"/>
    <w:uiPriority w:val="99"/>
    <w:semiHidden/>
    <w:unhideWhenUsed/>
    <w:rsid w:val="006C3F22"/>
    <w:rPr>
      <w:color w:val="605E5C"/>
      <w:shd w:val="clear" w:color="auto" w:fill="E1DFDD"/>
    </w:rPr>
  </w:style>
  <w:style w:type="table" w:styleId="a5">
    <w:name w:val="Table Grid"/>
    <w:basedOn w:val="a1"/>
    <w:uiPriority w:val="39"/>
    <w:rsid w:val="006C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6E3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E345A"/>
    <w:rPr>
      <w:sz w:val="18"/>
      <w:szCs w:val="18"/>
    </w:rPr>
  </w:style>
  <w:style w:type="paragraph" w:styleId="a7">
    <w:name w:val="footer"/>
    <w:basedOn w:val="a"/>
    <w:link w:val="Char0"/>
    <w:uiPriority w:val="99"/>
    <w:unhideWhenUsed/>
    <w:rsid w:val="006E345A"/>
    <w:pPr>
      <w:tabs>
        <w:tab w:val="center" w:pos="4153"/>
        <w:tab w:val="right" w:pos="8306"/>
      </w:tabs>
      <w:snapToGrid w:val="0"/>
      <w:jc w:val="left"/>
    </w:pPr>
    <w:rPr>
      <w:sz w:val="18"/>
      <w:szCs w:val="18"/>
    </w:rPr>
  </w:style>
  <w:style w:type="character" w:customStyle="1" w:styleId="Char0">
    <w:name w:val="页脚 Char"/>
    <w:basedOn w:val="a0"/>
    <w:link w:val="a7"/>
    <w:uiPriority w:val="99"/>
    <w:rsid w:val="006E34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王嘉辉</cp:lastModifiedBy>
  <cp:revision>9</cp:revision>
  <dcterms:created xsi:type="dcterms:W3CDTF">2018-10-19T05:23:00Z</dcterms:created>
  <dcterms:modified xsi:type="dcterms:W3CDTF">2018-11-12T06:31:00Z</dcterms:modified>
</cp:coreProperties>
</file>